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26.09.2024 г., от 13:00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Изменение и допълнение на Решение № 45-НС/24.09.2024 г., относно регистрация на кандидатска листа на КП „БСП-ОБЕДИНЕНА ЛЕВИЦА“ за участие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