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E87D84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D56669" w:rsidRDefault="00277675" w:rsidP="00356C5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04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.04.2021г. в </w:t>
      </w:r>
      <w:proofErr w:type="spellStart"/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Международен панаир палата №7, се проведе заседание на Районна избирателна комисия (РИК) 16 – Пловдив. Заседанието се откри в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:10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38211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13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членове на РИК 16 </w:t>
      </w:r>
      <w:r w:rsidR="00A135F9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Пловдив, налице е изискуемия от ИК кворум за провеждане на заседанието. </w:t>
      </w:r>
    </w:p>
    <w:p w:rsidR="00356C57" w:rsidRPr="00356C57" w:rsidRDefault="00356C57" w:rsidP="00356C5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986CF4">
        <w:rPr>
          <w:rFonts w:ascii="Times New Roman" w:eastAsia="Times New Roman" w:hAnsi="Times New Roman" w:cs="Times New Roman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D56669" w:rsidRDefault="00277675" w:rsidP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от 03.04.2021</w:t>
            </w:r>
          </w:p>
        </w:tc>
        <w:tc>
          <w:tcPr>
            <w:tcW w:w="1567" w:type="dxa"/>
          </w:tcPr>
          <w:p w:rsidR="00D56669" w:rsidRDefault="0027767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D56669" w:rsidRDefault="00277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 СИК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</w:tcPr>
          <w:p w:rsidR="00D56669" w:rsidRDefault="00277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Жалби и сигнали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</w:tcPr>
          <w:p w:rsidR="00D56669" w:rsidRDefault="00277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D56669" w:rsidRDefault="0027767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B3162C" w:rsidRDefault="00B3162C" w:rsidP="006E338F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:rsidR="00403E2D" w:rsidRDefault="006E338F" w:rsidP="00403E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Поради липса на възражения от страна на членовете на РИК, проектът на дневен ред бе подложен на поименно гласуване и резултатите от него са както следва:</w:t>
      </w:r>
      <w:r w:rsidR="001511F1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br/>
      </w:r>
      <w:r w:rsidR="003F7BFD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br/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403E2D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rPr>
          <w:trHeight w:val="320"/>
        </w:trPr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rPr>
          <w:trHeight w:val="497"/>
        </w:trPr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403E2D" w:rsidRPr="00F150D5" w:rsidTr="000C0670">
        <w:tc>
          <w:tcPr>
            <w:tcW w:w="544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403E2D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403E2D" w:rsidRPr="00F150D5" w:rsidRDefault="00403E2D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403E2D" w:rsidRDefault="00403E2D" w:rsidP="00403E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E2D" w:rsidRDefault="00403E2D" w:rsidP="00403E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E2D" w:rsidRDefault="00403E2D" w:rsidP="00403E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Дневният ред се прие от РИК 16 – Пловдив с пълно </w:t>
      </w:r>
      <w:r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мнозинство от присъстващите с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гласа „ЗА”.</w:t>
      </w:r>
    </w:p>
    <w:p w:rsidR="001511F1" w:rsidRDefault="00403E2D" w:rsidP="001511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 </w:t>
      </w:r>
      <w:r w:rsidR="001511F1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br/>
      </w:r>
    </w:p>
    <w:p w:rsidR="003F7BFD" w:rsidRDefault="001511F1" w:rsidP="001511F1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Гергана Костадинова – член на РИК 16 Пловдив</w:t>
      </w:r>
    </w:p>
    <w:p w:rsidR="001511F1" w:rsidRDefault="001511F1" w:rsidP="001511F1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C1778A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rPr>
          <w:trHeight w:val="320"/>
        </w:trPr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rPr>
          <w:trHeight w:val="497"/>
        </w:trPr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C1778A" w:rsidRPr="00F150D5" w:rsidTr="00ED4CEC">
        <w:tc>
          <w:tcPr>
            <w:tcW w:w="544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C1778A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C1778A" w:rsidRPr="00F150D5" w:rsidRDefault="00C1778A" w:rsidP="00E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1511F1" w:rsidRDefault="001511F1" w:rsidP="00B3162C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356C57" w:rsidRDefault="00356C57" w:rsidP="001511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="00B31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51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1511F1" w:rsidRDefault="001511F1" w:rsidP="001511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1511F1" w:rsidRDefault="001511F1" w:rsidP="001511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C1778A" w:rsidRDefault="00C1778A" w:rsidP="00C1778A">
      <w:pPr>
        <w:shd w:val="clear" w:color="auto" w:fill="FFFFFF"/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417445">
        <w:rPr>
          <w:rFonts w:ascii="Times New Roman" w:eastAsia="Times New Roman" w:hAnsi="Times New Roman" w:cs="Times New Roman"/>
          <w:b/>
          <w:sz w:val="24"/>
          <w:szCs w:val="24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84 </w:t>
      </w:r>
      <w:r w:rsidRPr="0041744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445">
        <w:rPr>
          <w:rFonts w:ascii="Times New Roman" w:eastAsia="Times New Roman" w:hAnsi="Times New Roman" w:cs="Times New Roman"/>
          <w:b/>
          <w:sz w:val="24"/>
          <w:szCs w:val="24"/>
        </w:rPr>
        <w:t>НС/0</w:t>
      </w:r>
      <w:r w:rsidRPr="004174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417445">
        <w:rPr>
          <w:rFonts w:ascii="Times New Roman" w:eastAsia="Times New Roman" w:hAnsi="Times New Roman" w:cs="Times New Roman"/>
          <w:b/>
          <w:sz w:val="24"/>
          <w:szCs w:val="24"/>
        </w:rPr>
        <w:t>.04.2021</w:t>
      </w:r>
    </w:p>
    <w:p w:rsidR="00C1778A" w:rsidRPr="00BF76CC" w:rsidRDefault="00C1778A" w:rsidP="00C17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6CC">
        <w:rPr>
          <w:rFonts w:ascii="Times New Roman" w:eastAsia="Times New Roman" w:hAnsi="Times New Roman" w:cs="Times New Roman"/>
          <w:b/>
          <w:sz w:val="24"/>
          <w:szCs w:val="24"/>
        </w:rPr>
        <w:t>ОТНОСНО: Утвърждаване на замени на представители в СИК от всички квоти за участие в изборите за Народни представители на 04.04.2021г.</w:t>
      </w:r>
    </w:p>
    <w:p w:rsidR="00C1778A" w:rsidRPr="00417445" w:rsidRDefault="00C1778A" w:rsidP="00C17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sz w:val="24"/>
          <w:szCs w:val="24"/>
        </w:rPr>
        <w:t xml:space="preserve">В Районната </w:t>
      </w:r>
      <w:r w:rsidRPr="00175C88">
        <w:rPr>
          <w:rFonts w:ascii="Times New Roman" w:eastAsia="Times New Roman" w:hAnsi="Times New Roman" w:cs="Times New Roman"/>
          <w:sz w:val="24"/>
          <w:szCs w:val="24"/>
        </w:rPr>
        <w:t>избирателна комисия 16 - Пловдив е постъпили писма с Вх. № 374; 376; 379; 380; 382; 383;  384; 385; 386; 387; 388; 389; 390; 391; 392; 393; 394; 396; 397; 398; 400; 403; 405; 406 от 0</w:t>
      </w:r>
      <w:r w:rsidRPr="00175C8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175C88">
        <w:rPr>
          <w:rFonts w:ascii="Times New Roman" w:eastAsia="Times New Roman" w:hAnsi="Times New Roman" w:cs="Times New Roman"/>
          <w:sz w:val="24"/>
          <w:szCs w:val="24"/>
        </w:rPr>
        <w:t>.04.2021г. относно</w:t>
      </w:r>
      <w:r w:rsidRPr="00417445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за промени в състава на СИК в район: Централен</w:t>
      </w:r>
      <w:r>
        <w:rPr>
          <w:rFonts w:ascii="Times New Roman" w:eastAsia="Times New Roman" w:hAnsi="Times New Roman" w:cs="Times New Roman"/>
          <w:sz w:val="24"/>
          <w:szCs w:val="24"/>
        </w:rPr>
        <w:t>, Източен, Западен, Северен, Южен и Тракия.</w:t>
      </w:r>
      <w:r w:rsidRPr="00417445">
        <w:rPr>
          <w:rFonts w:ascii="Times New Roman" w:eastAsia="Times New Roman" w:hAnsi="Times New Roman" w:cs="Times New Roman"/>
          <w:sz w:val="24"/>
          <w:szCs w:val="24"/>
        </w:rPr>
        <w:t xml:space="preserve"> Към заявлението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417445">
        <w:rPr>
          <w:rFonts w:ascii="Times New Roman" w:eastAsia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съответните документи, удостоверяващи представителната власт на пълномощниците от определените партии и коалиции. </w:t>
      </w:r>
      <w:r w:rsidRPr="004174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C1778A" w:rsidRPr="00417445" w:rsidRDefault="00C1778A" w:rsidP="00C17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C1778A" w:rsidRPr="00417445" w:rsidRDefault="00C1778A" w:rsidP="00C1778A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РЕШИ:</w:t>
      </w:r>
    </w:p>
    <w:p w:rsidR="00C1778A" w:rsidRDefault="00C1778A" w:rsidP="00C1778A">
      <w:pPr>
        <w:pStyle w:val="a9"/>
        <w:numPr>
          <w:ilvl w:val="0"/>
          <w:numId w:val="10"/>
        </w:numPr>
        <w:shd w:val="clear" w:color="auto" w:fill="FFFFFF"/>
        <w:suppressAutoHyphens w:val="0"/>
        <w:spacing w:before="280" w:after="280" w:line="276" w:lineRule="auto"/>
        <w:ind w:leftChars="0" w:firstLineChars="0"/>
        <w:jc w:val="both"/>
        <w:textDirection w:val="lrTb"/>
        <w:textAlignment w:val="auto"/>
        <w:outlineLvl w:val="9"/>
      </w:pPr>
      <w:r w:rsidRPr="00071C20">
        <w:rPr>
          <w:rFonts w:ascii="Times New Roman" w:eastAsia="Times New Roman" w:hAnsi="Times New Roman"/>
          <w:sz w:val="24"/>
          <w:szCs w:val="24"/>
          <w:highlight w:val="white"/>
        </w:rPr>
        <w:t xml:space="preserve">УТВЪРЖДАВА предложените от съответните квоти на </w:t>
      </w:r>
      <w:r w:rsidRPr="00071C20">
        <w:rPr>
          <w:rFonts w:ascii="Times New Roman" w:eastAsia="Times New Roman" w:hAnsi="Times New Roman"/>
          <w:sz w:val="24"/>
          <w:szCs w:val="24"/>
        </w:rPr>
        <w:t xml:space="preserve">партии и коалиции </w:t>
      </w:r>
      <w:r w:rsidRPr="00071C20">
        <w:rPr>
          <w:rFonts w:ascii="Times New Roman" w:eastAsia="Times New Roman" w:hAnsi="Times New Roman"/>
          <w:sz w:val="24"/>
          <w:szCs w:val="24"/>
          <w:highlight w:val="white"/>
        </w:rPr>
        <w:t xml:space="preserve">замени в състави на СИК, съгласно постъпилите по-горе предложения </w:t>
      </w:r>
      <w:r w:rsidRPr="00071C20">
        <w:rPr>
          <w:rFonts w:ascii="Times New Roman" w:eastAsia="Times New Roman" w:hAnsi="Times New Roman"/>
          <w:sz w:val="24"/>
          <w:szCs w:val="24"/>
        </w:rPr>
        <w:t xml:space="preserve">със </w:t>
      </w:r>
    </w:p>
    <w:tbl>
      <w:tblPr>
        <w:tblpPr w:leftFromText="141" w:rightFromText="141" w:vertAnchor="text" w:horzAnchor="margin" w:tblpXSpec="center" w:tblpY="585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078"/>
        <w:gridCol w:w="1352"/>
        <w:gridCol w:w="2073"/>
        <w:gridCol w:w="1460"/>
        <w:gridCol w:w="2314"/>
        <w:gridCol w:w="1441"/>
      </w:tblGrid>
      <w:tr w:rsidR="00C1778A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71C20">
              <w:rPr>
                <w:rFonts w:eastAsia="Times New Roman"/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71C20">
              <w:rPr>
                <w:rFonts w:eastAsia="Times New Roman"/>
                <w:b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71C20">
              <w:rPr>
                <w:rFonts w:eastAsia="Times New Roman"/>
                <w:b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center"/>
              <w:textDirection w:val="lrTb"/>
              <w:rPr>
                <w:rFonts w:eastAsia="Times New Roman"/>
                <w:b/>
                <w:sz w:val="20"/>
                <w:szCs w:val="20"/>
              </w:rPr>
            </w:pPr>
            <w:r w:rsidRPr="00071C20">
              <w:rPr>
                <w:rFonts w:eastAsia="Times New Roman"/>
                <w:b/>
                <w:sz w:val="20"/>
                <w:szCs w:val="20"/>
              </w:rPr>
              <w:t>ТРИ ИМЕНА НА ЗАМЕСТВАН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b/>
                <w:sz w:val="20"/>
                <w:szCs w:val="20"/>
              </w:rPr>
            </w:pPr>
            <w:r w:rsidRPr="00071C20">
              <w:rPr>
                <w:rFonts w:eastAsia="Times New Roman"/>
                <w:b/>
                <w:sz w:val="20"/>
                <w:szCs w:val="20"/>
              </w:rPr>
              <w:t>ЕГН НА ЗАМЕСТВАН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center"/>
              <w:textDirection w:val="lrTb"/>
              <w:rPr>
                <w:rFonts w:eastAsia="Times New Roman"/>
                <w:b/>
                <w:sz w:val="20"/>
                <w:szCs w:val="20"/>
              </w:rPr>
            </w:pPr>
            <w:r w:rsidRPr="00071C20">
              <w:rPr>
                <w:rFonts w:eastAsia="Times New Roman"/>
                <w:b/>
                <w:sz w:val="20"/>
                <w:szCs w:val="20"/>
              </w:rPr>
              <w:t>ТРИ ИМЕНА НА ЗАМЕСТНИК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Pr="00071C20" w:rsidRDefault="00C1778A" w:rsidP="00ED4CEC">
            <w:pPr>
              <w:ind w:left="0" w:hanging="2"/>
              <w:jc w:val="center"/>
              <w:textDirection w:val="lrTb"/>
              <w:rPr>
                <w:b/>
              </w:rPr>
            </w:pPr>
            <w:r w:rsidRPr="00071C20">
              <w:rPr>
                <w:rFonts w:eastAsia="Times New Roman"/>
                <w:b/>
                <w:sz w:val="20"/>
                <w:szCs w:val="20"/>
              </w:rPr>
              <w:t>ЕГН НА ЗАМЕСТНИК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162204033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Пенка Петрова Христова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Емилия Георгиева Бонева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162204072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Таня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Добромирова</w:t>
            </w:r>
            <w:proofErr w:type="spellEnd"/>
            <w:r w:rsidRPr="00BF76CC">
              <w:rPr>
                <w:rFonts w:eastAsia="Times New Roman"/>
                <w:sz w:val="20"/>
                <w:szCs w:val="20"/>
              </w:rPr>
              <w:t xml:space="preserve"> Талева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Илиана Димитрова Джамбазова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162204023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Живко Лазаров Милков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Петър Костадинов Желязков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162204011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Марина Владова Андреева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Албена Иванова Петкова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162204046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Богомил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Красенов</w:t>
            </w:r>
            <w:proofErr w:type="spellEnd"/>
            <w:r w:rsidRPr="00BF76CC">
              <w:rPr>
                <w:rFonts w:eastAsia="Times New Roman"/>
                <w:sz w:val="20"/>
                <w:szCs w:val="20"/>
              </w:rPr>
              <w:t xml:space="preserve"> Райков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Владимир Стоянов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Сребрев</w:t>
            </w:r>
            <w:proofErr w:type="spellEnd"/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162205063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Минчо Пенев Василев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Христо Йорданов Илиев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162201014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Владимир Стоянов Гаджев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Николай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Светославов</w:t>
            </w:r>
            <w:proofErr w:type="spellEnd"/>
            <w:r w:rsidRPr="00BF76CC">
              <w:rPr>
                <w:rFonts w:eastAsia="Times New Roman"/>
                <w:sz w:val="20"/>
                <w:szCs w:val="20"/>
              </w:rPr>
              <w:t xml:space="preserve"> Рангелов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Снежана Стоянова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Тупарова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Цветомира Георгиева Миланова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88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162201078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Румен Нанков Костов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Слави Иванов Иванов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162201072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Сотир Атанасов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Росица Костадинова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162201094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Катерина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Красенова</w:t>
            </w:r>
            <w:proofErr w:type="spellEnd"/>
            <w:r w:rsidRPr="00BF76C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Урилска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Екатерина Живкова Георгиева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162201071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Димитър Велков Василев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Румен Груев Григоров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162205041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Анна Атанасова Вълчева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Ева Димитрова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Хаджигенова</w:t>
            </w:r>
            <w:proofErr w:type="spellEnd"/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162205054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Елена Юриева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Томасян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Магда Траянова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Кейкиева</w:t>
            </w:r>
            <w:proofErr w:type="spellEnd"/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162205060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 xml:space="preserve">Магда Траянова </w:t>
            </w:r>
            <w:proofErr w:type="spellStart"/>
            <w:r w:rsidRPr="00BF76CC">
              <w:rPr>
                <w:rFonts w:eastAsia="Times New Roman"/>
                <w:sz w:val="20"/>
                <w:szCs w:val="20"/>
              </w:rPr>
              <w:t>Кейкиева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Илка Йорданова Митева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162201068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Радостина Димитрова Георгиева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Милчо Ангелов Симеонов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162203011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Георги Иванов Ангелов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BF76CC">
              <w:rPr>
                <w:rFonts w:eastAsia="Times New Roman"/>
                <w:sz w:val="20"/>
                <w:szCs w:val="20"/>
              </w:rPr>
              <w:t>Нели Стоянова Петрова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276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F76CC">
              <w:rPr>
                <w:rFonts w:eastAsia="Times New Roman"/>
                <w:color w:val="000000"/>
                <w:sz w:val="20"/>
                <w:szCs w:val="20"/>
              </w:rPr>
              <w:t>тракия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162206069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Десислава Ангелова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F76CC">
              <w:rPr>
                <w:rFonts w:eastAsia="Times New Roman"/>
                <w:color w:val="000000"/>
                <w:sz w:val="20"/>
                <w:szCs w:val="20"/>
              </w:rPr>
              <w:t>тракия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162206051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Белослав Атанасов Христев</w:t>
            </w:r>
          </w:p>
        </w:tc>
        <w:tc>
          <w:tcPr>
            <w:tcW w:w="1460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Гергана Богданова Узунова</w:t>
            </w:r>
          </w:p>
        </w:tc>
        <w:tc>
          <w:tcPr>
            <w:tcW w:w="1441" w:type="dxa"/>
            <w:shd w:val="clear" w:color="auto" w:fill="auto"/>
            <w:hideMark/>
          </w:tcPr>
          <w:p w:rsidR="00C1778A" w:rsidRDefault="00C1778A" w:rsidP="00ED4CEC">
            <w:pPr>
              <w:ind w:left="0" w:hanging="2"/>
              <w:textDirection w:val="lrTb"/>
            </w:pPr>
            <w:r w:rsidRPr="003D1DF9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F76CC">
              <w:rPr>
                <w:rFonts w:eastAsia="Times New Roman"/>
                <w:color w:val="000000"/>
                <w:sz w:val="20"/>
                <w:szCs w:val="20"/>
              </w:rPr>
              <w:t>тракия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162206061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Йорданка Ботева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Парталска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C1778A" w:rsidRPr="003E657C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Елена Ангелова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Дългъчева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C1778A" w:rsidRPr="003D1DF9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162201079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Антоанета Антонова Иванова </w:t>
            </w:r>
          </w:p>
        </w:tc>
        <w:tc>
          <w:tcPr>
            <w:tcW w:w="1460" w:type="dxa"/>
            <w:shd w:val="clear" w:color="auto" w:fill="auto"/>
          </w:tcPr>
          <w:p w:rsidR="00C1778A" w:rsidRPr="003E657C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Гергана Димитрова Плачкова</w:t>
            </w:r>
          </w:p>
        </w:tc>
        <w:tc>
          <w:tcPr>
            <w:tcW w:w="1441" w:type="dxa"/>
            <w:shd w:val="clear" w:color="auto" w:fill="auto"/>
          </w:tcPr>
          <w:p w:rsidR="00C1778A" w:rsidRPr="003D1DF9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162201070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696AB0">
              <w:rPr>
                <w:rFonts w:eastAsia="Times New Roman"/>
                <w:color w:val="000000"/>
                <w:sz w:val="20"/>
                <w:szCs w:val="20"/>
              </w:rPr>
              <w:t>Мария Михайлова Данова</w:t>
            </w:r>
          </w:p>
        </w:tc>
        <w:tc>
          <w:tcPr>
            <w:tcW w:w="1460" w:type="dxa"/>
            <w:shd w:val="clear" w:color="auto" w:fill="auto"/>
          </w:tcPr>
          <w:p w:rsidR="00C1778A" w:rsidRPr="003E657C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Милена Иванова Найденова</w:t>
            </w:r>
          </w:p>
        </w:tc>
        <w:tc>
          <w:tcPr>
            <w:tcW w:w="1441" w:type="dxa"/>
            <w:shd w:val="clear" w:color="auto" w:fill="auto"/>
          </w:tcPr>
          <w:p w:rsidR="00C1778A" w:rsidRPr="003D1DF9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  <w:tr w:rsidR="00C1778A" w:rsidRPr="00BF76CC" w:rsidTr="00ED4CEC">
        <w:trPr>
          <w:trHeight w:val="552"/>
        </w:trPr>
        <w:tc>
          <w:tcPr>
            <w:tcW w:w="104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jc w:val="right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162201072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 w:rsidRPr="00BF76CC"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Стоянов Данов</w:t>
            </w:r>
          </w:p>
        </w:tc>
        <w:tc>
          <w:tcPr>
            <w:tcW w:w="1460" w:type="dxa"/>
            <w:shd w:val="clear" w:color="auto" w:fill="auto"/>
          </w:tcPr>
          <w:p w:rsidR="00C1778A" w:rsidRPr="003E657C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1778A" w:rsidRPr="00BF76CC" w:rsidRDefault="00C1778A" w:rsidP="00ED4CEC">
            <w:pPr>
              <w:spacing w:after="0" w:line="240" w:lineRule="auto"/>
              <w:ind w:left="0" w:hanging="2"/>
              <w:textDirection w:val="lrTb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Марин Найденов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C1778A" w:rsidRPr="003D1DF9" w:rsidRDefault="00C1778A" w:rsidP="00ED4CEC">
            <w:pPr>
              <w:ind w:left="0" w:hanging="2"/>
              <w:textDirection w:val="lrTb"/>
              <w:rPr>
                <w:rFonts w:eastAsia="Times New Roman"/>
                <w:sz w:val="20"/>
                <w:szCs w:val="20"/>
              </w:rPr>
            </w:pPr>
            <w:r w:rsidRPr="003E657C">
              <w:rPr>
                <w:rFonts w:eastAsia="Times New Roman"/>
                <w:sz w:val="20"/>
                <w:szCs w:val="20"/>
              </w:rPr>
              <w:t>**********</w:t>
            </w:r>
          </w:p>
        </w:tc>
      </w:tr>
    </w:tbl>
    <w:tbl>
      <w:tblPr>
        <w:tblW w:w="11552" w:type="dxa"/>
        <w:tblInd w:w="-856" w:type="dxa"/>
        <w:tblLook w:val="04A0" w:firstRow="1" w:lastRow="0" w:firstColumn="1" w:lastColumn="0" w:noHBand="0" w:noVBand="1"/>
      </w:tblPr>
      <w:tblGrid>
        <w:gridCol w:w="1230"/>
        <w:gridCol w:w="91"/>
        <w:gridCol w:w="1129"/>
        <w:gridCol w:w="1439"/>
        <w:gridCol w:w="2916"/>
        <w:gridCol w:w="4747"/>
      </w:tblGrid>
      <w:tr w:rsidR="00C1778A" w:rsidRPr="00A65040" w:rsidTr="00ED4CEC">
        <w:trPr>
          <w:trHeight w:val="5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6504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6504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Секция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65040">
              <w:rPr>
                <w:b/>
                <w:bCs/>
                <w:sz w:val="20"/>
                <w:szCs w:val="20"/>
                <w:lang w:val="en-US" w:eastAsia="en-US"/>
              </w:rPr>
              <w:t>Позиция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 ЗАМЕСТВАН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ЕГН  </w:t>
            </w:r>
            <w:proofErr w:type="spellStart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A65040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 ЗАМЕСТВАН</w:t>
            </w:r>
          </w:p>
        </w:tc>
      </w:tr>
      <w:tr w:rsidR="00C1778A" w:rsidRPr="00A65040" w:rsidTr="00ED4CEC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Северен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A65040">
              <w:rPr>
                <w:color w:val="000000"/>
                <w:lang w:val="en-US" w:eastAsia="en-US"/>
              </w:rPr>
              <w:t>162204024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Васил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Видков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Василев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A65040" w:rsidTr="00ED4CEC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Западен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A65040">
              <w:rPr>
                <w:color w:val="000000"/>
                <w:lang w:val="en-US" w:eastAsia="en-US"/>
              </w:rPr>
              <w:t>162203023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Ангел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Крумов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Гатев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A65040" w:rsidTr="00ED4CEC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Западен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A65040">
              <w:rPr>
                <w:color w:val="000000"/>
                <w:lang w:val="en-US" w:eastAsia="en-US"/>
              </w:rPr>
              <w:t>162203042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Димитър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Манолов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Пърчев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A65040" w:rsidTr="00ED4CEC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Централен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A65040">
              <w:rPr>
                <w:color w:val="000000"/>
                <w:lang w:val="en-US" w:eastAsia="en-US"/>
              </w:rPr>
              <w:t>162201014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Росица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Генчева</w:t>
            </w:r>
            <w:proofErr w:type="spellEnd"/>
            <w:r w:rsidRPr="00A6504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65040">
              <w:rPr>
                <w:color w:val="000000"/>
                <w:lang w:val="en-US" w:eastAsia="en-US"/>
              </w:rPr>
              <w:t>Димитрова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A65040" w:rsidTr="00ED4CEC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източен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A65040">
              <w:rPr>
                <w:color w:val="000000"/>
                <w:lang w:val="en-US" w:eastAsia="en-US"/>
              </w:rPr>
              <w:t>162202018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 w:rsidRPr="00A65040"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Йонка  Георгиева </w:t>
            </w:r>
            <w:proofErr w:type="spellStart"/>
            <w:r>
              <w:rPr>
                <w:color w:val="000000"/>
                <w:lang w:eastAsia="en-US"/>
              </w:rPr>
              <w:t>Щенгелова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A65040" w:rsidTr="00ED4CEC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lastRenderedPageBreak/>
              <w:t>тракия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A65040">
              <w:rPr>
                <w:color w:val="000000"/>
                <w:lang w:val="en-US" w:eastAsia="en-US"/>
              </w:rPr>
              <w:t>162206013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proofErr w:type="spellStart"/>
            <w:r w:rsidRPr="00A65040">
              <w:rPr>
                <w:color w:val="00000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 w:rsidRPr="00A65040"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Теодора Дженкова Христова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A65040" w:rsidTr="00ED4CEC">
        <w:trPr>
          <w:trHeight w:val="10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78A" w:rsidRPr="00A65040" w:rsidRDefault="00C1778A" w:rsidP="00ED4CEC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E26D39" w:rsidTr="00ED4CEC">
        <w:trPr>
          <w:trHeight w:val="88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Източен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6D39">
              <w:rPr>
                <w:color w:val="000000"/>
                <w:sz w:val="20"/>
                <w:szCs w:val="20"/>
                <w:lang w:val="en-US" w:eastAsia="en-US"/>
              </w:rPr>
              <w:t>162202036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Павел</w:t>
            </w:r>
            <w:proofErr w:type="spellEnd"/>
            <w:r w:rsidRPr="00E26D3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Петров</w:t>
            </w:r>
            <w:proofErr w:type="spellEnd"/>
            <w:r w:rsidRPr="00E26D3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Петров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  <w:tr w:rsidR="00C1778A" w:rsidRPr="00E26D39" w:rsidTr="00ED4CEC">
        <w:trPr>
          <w:trHeight w:val="882"/>
        </w:trPr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Източен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6D39">
              <w:rPr>
                <w:color w:val="000000"/>
                <w:sz w:val="20"/>
                <w:szCs w:val="20"/>
                <w:lang w:val="en-US" w:eastAsia="en-US"/>
              </w:rPr>
              <w:t>162202035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8A" w:rsidRPr="00E26D39" w:rsidRDefault="00C1778A" w:rsidP="00ED4C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Габриела</w:t>
            </w:r>
            <w:proofErr w:type="spellEnd"/>
            <w:r w:rsidRPr="00E26D3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Емилова</w:t>
            </w:r>
            <w:proofErr w:type="spellEnd"/>
            <w:r w:rsidRPr="00E26D3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6D39">
              <w:rPr>
                <w:color w:val="000000"/>
                <w:sz w:val="20"/>
                <w:szCs w:val="20"/>
                <w:lang w:val="en-US" w:eastAsia="en-US"/>
              </w:rPr>
              <w:t>Русинова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8A" w:rsidRDefault="00C1778A" w:rsidP="00ED4CEC">
            <w:pPr>
              <w:ind w:left="0" w:hanging="2"/>
              <w:jc w:val="center"/>
            </w:pPr>
            <w:r w:rsidRPr="00760CBB">
              <w:rPr>
                <w:color w:val="000000"/>
                <w:lang w:eastAsia="en-US"/>
              </w:rPr>
              <w:t>**********</w:t>
            </w:r>
          </w:p>
        </w:tc>
      </w:tr>
    </w:tbl>
    <w:p w:rsidR="00C1778A" w:rsidRPr="00175C88" w:rsidRDefault="00C1778A" w:rsidP="00C1778A">
      <w:pPr>
        <w:shd w:val="clear" w:color="auto" w:fill="FFFFFF"/>
        <w:spacing w:before="280" w:after="28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778A" w:rsidRPr="00417445" w:rsidRDefault="00C1778A" w:rsidP="00C1778A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280" w:after="0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417445">
        <w:rPr>
          <w:rFonts w:ascii="Times New Roman" w:eastAsia="Times New Roman" w:hAnsi="Times New Roman"/>
          <w:sz w:val="24"/>
          <w:szCs w:val="24"/>
        </w:rPr>
        <w:t>Издадените удостоверения на заменените членове на СИК да се анулират.</w:t>
      </w:r>
    </w:p>
    <w:p w:rsidR="00C1778A" w:rsidRPr="00417445" w:rsidRDefault="00C1778A" w:rsidP="00C177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sz w:val="24"/>
          <w:szCs w:val="24"/>
        </w:rPr>
        <w:t>ИЗДАВА удостоверения на новоназначените членове на СИК.</w:t>
      </w:r>
    </w:p>
    <w:p w:rsidR="00C1778A" w:rsidRPr="00417445" w:rsidRDefault="00C1778A" w:rsidP="00C177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sz w:val="24"/>
          <w:szCs w:val="24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C1778A" w:rsidRPr="00417445" w:rsidRDefault="00C1778A" w:rsidP="00C177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8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1778A" w:rsidRPr="00417445" w:rsidRDefault="00C1778A" w:rsidP="00C1778A">
      <w:pPr>
        <w:shd w:val="clear" w:color="auto" w:fill="FFFFFF"/>
        <w:spacing w:before="280" w:after="28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4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E338F" w:rsidRDefault="006E338F" w:rsidP="00403E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6E338F" w:rsidRDefault="006E3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CF4" w:rsidRPr="00403E2D"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 w:rsidR="00986CF4"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Гергана Костадинова – член на РИК 16 Пловдив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rPr>
          <w:trHeight w:val="320"/>
        </w:trPr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rPr>
          <w:trHeight w:val="497"/>
        </w:trPr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986CF4" w:rsidRDefault="00986CF4" w:rsidP="001511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2C" w:rsidRDefault="00B3162C" w:rsidP="00B31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86CF4" w:rsidRDefault="00B3162C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CF4" w:rsidRPr="00E95F30" w:rsidRDefault="00986CF4" w:rsidP="00986CF4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</w:pPr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t>РЕШЕНИЕ</w:t>
      </w:r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br/>
        <w:t>№ 1</w:t>
      </w:r>
      <w:r w:rsidRPr="00E95F30">
        <w:rPr>
          <w:rFonts w:ascii="Times New Roman" w:hAnsi="Times New Roman"/>
          <w:b/>
          <w:color w:val="333333"/>
          <w:sz w:val="32"/>
          <w:szCs w:val="32"/>
          <w:lang w:eastAsia="en-US"/>
        </w:rPr>
        <w:t xml:space="preserve">85 </w:t>
      </w:r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t>-НС</w:t>
      </w:r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br/>
      </w:r>
      <w:proofErr w:type="spellStart"/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t>Пловдив</w:t>
      </w:r>
      <w:proofErr w:type="spellEnd"/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t xml:space="preserve"> </w:t>
      </w:r>
      <w:proofErr w:type="spellStart"/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t>Град</w:t>
      </w:r>
      <w:proofErr w:type="spellEnd"/>
      <w:r w:rsidRPr="00E95F30">
        <w:rPr>
          <w:rFonts w:ascii="Times New Roman" w:hAnsi="Times New Roman"/>
          <w:b/>
          <w:color w:val="333333"/>
          <w:sz w:val="32"/>
          <w:szCs w:val="32"/>
          <w:lang w:val="en-US" w:eastAsia="en-US"/>
        </w:rPr>
        <w:t>, 04.04.2021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ОТНОСНО: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Вземане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Публикуване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списък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с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упълномощени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името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ПП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“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Републиканци за </w:t>
      </w:r>
      <w:proofErr w:type="gramStart"/>
      <w:r>
        <w:rPr>
          <w:rFonts w:ascii="Times New Roman" w:hAnsi="Times New Roman"/>
          <w:color w:val="333333"/>
          <w:sz w:val="21"/>
          <w:szCs w:val="21"/>
          <w:lang w:eastAsia="en-US"/>
        </w:rPr>
        <w:t>България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“</w:t>
      </w:r>
      <w:proofErr w:type="gramEnd"/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.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Постъпили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заявления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с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вх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. №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371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/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03</w:t>
      </w:r>
      <w:r>
        <w:rPr>
          <w:rFonts w:ascii="Times New Roman" w:hAnsi="Times New Roman"/>
          <w:color w:val="333333"/>
          <w:sz w:val="21"/>
          <w:szCs w:val="21"/>
          <w:lang w:val="en-US" w:eastAsia="en-US"/>
        </w:rPr>
        <w:t>.04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.2021 г.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във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входящия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регистър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РИК 16 -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Пловдив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Христо Ангелов Димитров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,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пълномощник, упълномощен представител </w:t>
      </w:r>
      <w:proofErr w:type="gramStart"/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на 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Цветан</w:t>
      </w:r>
      <w:proofErr w:type="gramEnd"/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 Генчев Цветанов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в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качеството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му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на председател и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представляващ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ПП“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Републиканци за България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“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.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Към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заявлени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ето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е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представен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и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списък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политическите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хартиен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носител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и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технически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носител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в excel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формат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.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След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извършена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проверка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през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програмния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продукт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„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Информационно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обслужване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“ АД</w:t>
      </w:r>
      <w:proofErr w:type="gram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е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констатирано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съответствие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с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нормативните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изисквания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.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С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оглед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гореизложеното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както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и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основание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чл.72 ал.1 т.1,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във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връзка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с чл.124 ал.4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ИК и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№ 2149-НС/01.03.2021г.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ЦИК,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Районна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избирателна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комисия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16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Пловдив</w:t>
      </w:r>
      <w:proofErr w:type="spellEnd"/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РЕШИ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: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ПУБЛИКУВА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интернет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страницата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Районната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избирателна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комисия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16 –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Пловдив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предложения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proofErr w:type="spellStart"/>
      <w:proofErr w:type="gram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Христо</w:t>
      </w:r>
      <w:proofErr w:type="gramEnd"/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 Ангелов Димитров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списък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5</w:t>
      </w:r>
      <w:r>
        <w:rPr>
          <w:rFonts w:ascii="Times New Roman" w:hAnsi="Times New Roman"/>
          <w:color w:val="333333"/>
          <w:sz w:val="21"/>
          <w:szCs w:val="21"/>
          <w:lang w:val="en-US" w:eastAsia="en-US"/>
        </w:rPr>
        <w:t>1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бр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.  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упълномощени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ПП“</w:t>
      </w:r>
      <w:r w:rsidRPr="00DA3908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Републиканци за България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“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изборите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народни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04.04.2021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год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.,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които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спазени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изискванията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съгласно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№ 2149-НС/01.03.2021г.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ЦИК.</w:t>
      </w:r>
      <w:r w:rsidR="006137A4">
        <w:rPr>
          <w:rFonts w:ascii="Times New Roman" w:hAnsi="Times New Roman"/>
          <w:color w:val="333333"/>
          <w:sz w:val="21"/>
          <w:szCs w:val="21"/>
          <w:lang w:val="en-US" w:eastAsia="en-US"/>
        </w:rPr>
        <w:br/>
      </w:r>
      <w:bookmarkStart w:id="1" w:name="_GoBack"/>
      <w:bookmarkEnd w:id="1"/>
    </w:p>
    <w:tbl>
      <w:tblPr>
        <w:tblW w:w="7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1428"/>
        <w:gridCol w:w="1932"/>
      </w:tblGrid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Васил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Радев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Русев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Анелия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Михайлова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Стоянова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Йордан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Борисов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Михаил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Костадинов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Райчо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Михайлов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Миланов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№6/03.04.2021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Сандо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Стоянов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№7/03.04.2021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Стоян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Сандов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№8/03.04.2021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Йоско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Йосифов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№9/03.04.2021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Огнян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Янков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Велев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№11/03.04.2021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Янко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Илиев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Илиев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№12/03.04.2021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Стоянов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Минков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№13/03.04.2021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Мария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Хариева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Величкова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№15/03.04.2021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Марин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Атанасов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Апостолов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№19/03.04.2021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Митко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Методиев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№20/03.04.2021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Сашо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Орлинов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Стоянов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№21/03.04.2021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Христов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Насков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№23/03.04.2021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Стефан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Васков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Станков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№24/03.04.2021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Божидар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Митков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Караславов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№25/03.04.2021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Красимир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Насков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Бонев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№26/03.04.2021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Борис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Борисов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№28/03.04.2021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Димитър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Джевизов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№29/03.04.2021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Фанка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Александрова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№31/03.04.2021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Насков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Чираков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№32/03.04.2021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Димитър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Чираков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№33/03.04.2021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Сийка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Наскова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Чиракова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№35/03.04.2021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Калин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№36/03.04.2021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Георги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Асенов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Чакъров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№37/03.04.2021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Методи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Костадинов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Сандов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№43/03.04.2021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Милка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Комитова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№44/03.04.2021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Янко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Васков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Станков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№45/03.04.2021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Янков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Станков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№46/03.04.2021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Митко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Юлиянов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Камберов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№48/03.04.2021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Благо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Димитров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№49/03.04.2021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Божидар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Митков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№50/03.04.2021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Наско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Василев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№51/03.04.2021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Емил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Митков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№53/03.04.2021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Игор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Кула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№54/03.04.2021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Георги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Попов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№55/03.04.2021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Георги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Маринов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№56/03.04.2021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София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Иванова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Георгиева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№57/03.04.2021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Анет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Петрова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Ганева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№58/03.04.2021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Владо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Рангелов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Василев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№59/03.04.2021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Андрей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нгелов</w:t>
            </w:r>
            <w:proofErr w:type="spellEnd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Start"/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етков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МИТКО ГИНОВ ИВАНОВ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№10/03.04.2021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ФАТМА АЗИСОВА АЛИЕВА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№14/03.04.2021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РАЙЧО МАРИЕВ КОСТОВ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№27/03.04.2021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МАРГАРИТА МИГЛЕНОВА СИМЕОНОВА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№30/03.04.2021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ВЕЛИЧКА МИТКОВА КОДЖАМАНОВА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№34/03.04.2021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СЕБАТИН ИДРИЗ РАМАДАН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№39/03.04.2021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КЪЙМЕТ ЕНГИН ВЕЛИ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№40/03.04.2021</w:t>
            </w:r>
          </w:p>
        </w:tc>
      </w:tr>
      <w:tr w:rsidR="00986CF4" w:rsidRPr="00422CC4" w:rsidTr="00B9775F">
        <w:trPr>
          <w:trHeight w:val="303"/>
        </w:trPr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ПЕТЬО ЯНКОВ СТАНКОВ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986CF4" w:rsidRPr="00422CC4" w:rsidRDefault="00986CF4" w:rsidP="00B9775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**********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86CF4" w:rsidRPr="00422CC4" w:rsidRDefault="00986CF4" w:rsidP="00B9775F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22CC4">
              <w:rPr>
                <w:rFonts w:ascii="Times New Roman" w:hAnsi="Times New Roman"/>
                <w:color w:val="000000"/>
                <w:lang w:val="en-US" w:eastAsia="en-US"/>
              </w:rPr>
              <w:t>№47/03.04.2021</w:t>
            </w:r>
          </w:p>
        </w:tc>
      </w:tr>
    </w:tbl>
    <w:p w:rsidR="00986CF4" w:rsidRPr="00003294" w:rsidRDefault="00986CF4" w:rsidP="00986CF4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</w:p>
    <w:p w:rsidR="00986CF4" w:rsidRPr="001511F1" w:rsidRDefault="00986CF4" w:rsidP="00986CF4">
      <w:pPr>
        <w:shd w:val="clear" w:color="auto" w:fill="FFFFFF"/>
        <w:spacing w:after="150" w:line="240" w:lineRule="auto"/>
        <w:ind w:left="0" w:hanging="2"/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</w:pP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обжалване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 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Централната</w:t>
      </w:r>
      <w:proofErr w:type="spellEnd"/>
      <w:proofErr w:type="gram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чл.73 </w:t>
      </w:r>
      <w:proofErr w:type="spellStart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511F1">
        <w:rPr>
          <w:rFonts w:ascii="Times New Roman" w:hAnsi="Times New Roman" w:cs="Times New Roman"/>
          <w:color w:val="333333"/>
          <w:sz w:val="24"/>
          <w:szCs w:val="24"/>
          <w:lang w:val="en-US" w:eastAsia="en-US"/>
        </w:rPr>
        <w:t xml:space="preserve"> ИК.</w:t>
      </w:r>
    </w:p>
    <w:p w:rsidR="00986CF4" w:rsidRDefault="00986CF4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3" w:rsidRDefault="005547C3" w:rsidP="00554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7C3" w:rsidRDefault="005547C3" w:rsidP="005547C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</w:t>
      </w:r>
      <w:r w:rsidR="00176BBA">
        <w:rPr>
          <w:rFonts w:ascii="Times New Roman" w:eastAsia="Times New Roman" w:hAnsi="Times New Roman" w:cs="Times New Roman"/>
          <w:sz w:val="24"/>
          <w:szCs w:val="24"/>
        </w:rPr>
        <w:t xml:space="preserve">Калоян </w:t>
      </w:r>
      <w:proofErr w:type="spellStart"/>
      <w:r w:rsidR="00176BBA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p w:rsidR="00246A13" w:rsidRDefault="00246A13" w:rsidP="00246A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46A13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rPr>
          <w:trHeight w:val="320"/>
        </w:trPr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rPr>
          <w:trHeight w:val="497"/>
        </w:trPr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246A13" w:rsidRDefault="00246A13" w:rsidP="00246A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D7270F" w:rsidRDefault="00D7270F" w:rsidP="00D727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46A13" w:rsidRPr="00E95F30" w:rsidRDefault="00246A13" w:rsidP="00246A13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Helvetica" w:eastAsia="Times New Roman" w:hAnsi="Helvetica" w:cs="Helvetica"/>
          <w:color w:val="333333"/>
          <w:sz w:val="30"/>
          <w:szCs w:val="28"/>
        </w:rPr>
      </w:pPr>
    </w:p>
    <w:p w:rsidR="00B43CB2" w:rsidRPr="00E95F30" w:rsidRDefault="00B43CB2" w:rsidP="00B43CB2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95F30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</w:t>
      </w:r>
      <w:r w:rsidRPr="00E95F3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№ 186-НС</w:t>
      </w:r>
      <w:r w:rsidRPr="00E95F3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Пловдив Град, 04.04.2021</w:t>
      </w:r>
    </w:p>
    <w:p w:rsidR="00B43CB2" w:rsidRPr="00C74A92" w:rsidRDefault="00B43CB2" w:rsidP="00B43CB2">
      <w:pPr>
        <w:pStyle w:val="aa"/>
        <w:ind w:left="0" w:hanging="2"/>
        <w:jc w:val="both"/>
      </w:pPr>
      <w:r>
        <w:rPr>
          <w:color w:val="333333"/>
        </w:rPr>
        <w:tab/>
      </w:r>
      <w:r w:rsidRPr="00C74A92">
        <w:t>ОТНОСНО: Жалб</w:t>
      </w:r>
      <w:r>
        <w:t>и</w:t>
      </w:r>
      <w:r w:rsidRPr="00C74A92">
        <w:t xml:space="preserve"> от </w:t>
      </w:r>
      <w:r>
        <w:t>Любомир Ангелов Чакъров</w:t>
      </w:r>
      <w:r w:rsidRPr="00C74A92">
        <w:t xml:space="preserve">, </w:t>
      </w:r>
      <w:r>
        <w:t>наблюдател от българска неправителствена организация сдружение „Аз обичам Пловдив“</w:t>
      </w:r>
      <w:r w:rsidRPr="00C74A92">
        <w:t>.</w:t>
      </w:r>
    </w:p>
    <w:p w:rsidR="00B43CB2" w:rsidRPr="00B030AF" w:rsidRDefault="00B43CB2" w:rsidP="00B43CB2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14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15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16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17/04.04.2021г. и 18/04.04.2021г.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в Регистъра на жалбите и сигналите на РИК 16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30AF">
        <w:rPr>
          <w:rFonts w:ascii="Times New Roman" w:eastAsia="Times New Roman" w:hAnsi="Times New Roman"/>
          <w:sz w:val="24"/>
          <w:szCs w:val="24"/>
        </w:rPr>
        <w:t xml:space="preserve">жалби от </w:t>
      </w:r>
      <w:r w:rsidRPr="00B030AF">
        <w:rPr>
          <w:rFonts w:ascii="Times New Roman" w:hAnsi="Times New Roman"/>
          <w:sz w:val="24"/>
          <w:szCs w:val="24"/>
        </w:rPr>
        <w:t xml:space="preserve">Любомир Ангелов Чакъров, наблюдател от българска неправителствена организация сдружение „Аз обичам Пловдив“ </w:t>
      </w:r>
      <w:r w:rsidRPr="00B030AF">
        <w:rPr>
          <w:rFonts w:ascii="Times New Roman" w:eastAsia="Times New Roman" w:hAnsi="Times New Roman"/>
          <w:sz w:val="24"/>
          <w:szCs w:val="24"/>
        </w:rPr>
        <w:t>в която твърди, че са налице нарушения както следва:</w:t>
      </w:r>
    </w:p>
    <w:p w:rsidR="00B43CB2" w:rsidRDefault="00B43CB2" w:rsidP="00B43CB2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секция 35 район „Източен“ липсва председател и машините за гласуване не са включени в целия район „Източен“;</w:t>
      </w:r>
    </w:p>
    <w:p w:rsidR="00B43CB2" w:rsidRDefault="00B43CB2" w:rsidP="00B43CB2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секция 40 район „Източен липсва председател и липсва тонер за принтера;</w:t>
      </w:r>
    </w:p>
    <w:p w:rsidR="00B43CB2" w:rsidRDefault="00B43CB2" w:rsidP="00B43CB2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секция 37 в район „Западен“ машината за гласуване не е пусната;</w:t>
      </w:r>
    </w:p>
    <w:p w:rsidR="00B43CB2" w:rsidRDefault="00B43CB2" w:rsidP="00B43CB2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секция 43 в район „Източен“ секретарят снима с мобилен телефон хората, които влизат в СИК и гласуват. </w:t>
      </w:r>
    </w:p>
    <w:p w:rsidR="00B43CB2" w:rsidRDefault="00B43CB2" w:rsidP="00B43CB2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училище „Найден Геров“, район „Източен“, липсват списъци, които указват кои улици и адреси попадат в секциите, образувани в училището.</w:t>
      </w:r>
    </w:p>
    <w:p w:rsidR="00B43CB2" w:rsidRPr="00C74A92" w:rsidRDefault="00B43CB2" w:rsidP="00B43CB2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входа на училище „Кирил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Нектариев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“ в район „Източен“ са свършили маските и се връщат хора, които имат желание да гласуват.</w:t>
      </w:r>
    </w:p>
    <w:p w:rsidR="00B43CB2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 xml:space="preserve">След постъпване на жалбата, </w:t>
      </w:r>
      <w:r>
        <w:rPr>
          <w:rFonts w:ascii="Times New Roman" w:eastAsia="Times New Roman" w:hAnsi="Times New Roman"/>
          <w:sz w:val="24"/>
          <w:szCs w:val="24"/>
        </w:rPr>
        <w:t xml:space="preserve">членове на РИК 16 са извършили необходимите справки и са установили, че в секции 35 и 40 в район „Източен“ преди 08:00 часа вече са били извършени замени на посочените за отсъстващи членове. Машините за гласуване работят както в целия район „Източен, така и в посочената секция 37 в район „Западен“, а в секция 40 в район „Източен“ не е установена липса на тонер. По отношение на секция 43 в район „Източен“, проведени са разговори с членове на секционната комисия от различни политически партии, включително с цялото ръководство, като се отрича изцяло извършването на действията описани в жалбата. </w:t>
      </w:r>
    </w:p>
    <w:p w:rsidR="00B43CB2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отношение на училище „Найден Геров“, в жалбата не е уточнено за коя от двете сгради става въпрос, но е извършена справка с администрацията на район „Източен“, която отговаря и за двете училища и е установено, че твърдените като липсващи списъци са налични на предвидените за това места.</w:t>
      </w:r>
      <w:r w:rsidRPr="00C74A92">
        <w:rPr>
          <w:rFonts w:ascii="Times New Roman" w:eastAsia="Times New Roman" w:hAnsi="Times New Roman"/>
          <w:sz w:val="24"/>
          <w:szCs w:val="24"/>
        </w:rPr>
        <w:t>  </w:t>
      </w:r>
    </w:p>
    <w:p w:rsidR="00B43CB2" w:rsidRPr="00C66BC1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отношение на училище „Кирил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Нектариев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“, след извършена справка с администрацията на район „Източен“ е установено, че маски са налични и не са връщани граждани, желаещи да упражнят правото си на глас. В този смисъл в РИК 16 не са постъпвали жалби от граждани, чиито право на глас е бил отнет по каквато и да е причина.</w:t>
      </w:r>
    </w:p>
    <w:p w:rsidR="00B43CB2" w:rsidRPr="00C74A92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>С оглед гореизложеното, на основание чл. 72, ал. 1, т. 20 от ИК, РИК 16 – ПЛОВДИВ,</w:t>
      </w:r>
    </w:p>
    <w:p w:rsidR="00B43CB2" w:rsidRPr="00C74A92" w:rsidRDefault="00B43CB2" w:rsidP="00B43CB2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B43CB2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ОСТАВЯ БЕЗ УВАЖЕНИЕ</w:t>
      </w:r>
      <w:r w:rsidRPr="00B030AF">
        <w:rPr>
          <w:rFonts w:ascii="Times New Roman" w:eastAsia="Times New Roman" w:hAnsi="Times New Roman"/>
          <w:sz w:val="24"/>
          <w:szCs w:val="24"/>
        </w:rPr>
        <w:t xml:space="preserve"> жалби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14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15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>.2021г.</w:t>
      </w:r>
      <w:r>
        <w:rPr>
          <w:rFonts w:ascii="Times New Roman" w:eastAsia="Times New Roman" w:hAnsi="Times New Roman"/>
          <w:sz w:val="24"/>
          <w:szCs w:val="24"/>
        </w:rPr>
        <w:t>, 16/04.04.2021г., 17/04.04.2021г. и 18/04.04.2021г.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в Регистъра на жалбите и сигналите на РИК 16 </w:t>
      </w:r>
      <w:r w:rsidRPr="00B030AF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B030AF">
        <w:rPr>
          <w:rFonts w:ascii="Times New Roman" w:hAnsi="Times New Roman"/>
          <w:sz w:val="24"/>
          <w:szCs w:val="24"/>
        </w:rPr>
        <w:t>Любомир Ангелов Чакъров, наблюдател от българска неправителствена организация сдружение „Аз обичам Пловдив“</w:t>
      </w:r>
      <w:r w:rsidRPr="00B030AF">
        <w:rPr>
          <w:rFonts w:ascii="Times New Roman" w:eastAsia="Times New Roman" w:hAnsi="Times New Roman"/>
          <w:sz w:val="24"/>
          <w:szCs w:val="24"/>
        </w:rPr>
        <w:t>.</w:t>
      </w:r>
    </w:p>
    <w:p w:rsidR="00B43CB2" w:rsidRPr="00B030AF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831FF">
        <w:rPr>
          <w:rFonts w:ascii="Times New Roman" w:eastAsia="Times New Roman" w:hAnsi="Times New Roman"/>
          <w:b/>
          <w:bCs/>
          <w:sz w:val="24"/>
          <w:szCs w:val="24"/>
        </w:rPr>
        <w:t>УКАЗВА НА ЖАЛБОПОДАТЕЛЯ</w:t>
      </w:r>
      <w:r>
        <w:rPr>
          <w:rFonts w:ascii="Times New Roman" w:eastAsia="Times New Roman" w:hAnsi="Times New Roman"/>
          <w:sz w:val="24"/>
          <w:szCs w:val="24"/>
        </w:rPr>
        <w:t xml:space="preserve">, че системното подаване на неоснователни жалби представлява злоупотреба с право, което се явява упражняване на право в противоречие на неговото предназначение. В случай, че се установи продължаващо и системно процесуално поведение в идентична посока, РИК 16 ще упражни правото си да откаже да даде защита на легитимното право за подаване на жалби и ще преустанови тяхното разглеждане.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43CB2" w:rsidRDefault="00B43CB2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D64271" w:rsidRDefault="00D64271" w:rsidP="00D64271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p w:rsidR="00246A13" w:rsidRDefault="00246A13" w:rsidP="00246A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46A13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rPr>
          <w:trHeight w:val="320"/>
        </w:trPr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rPr>
          <w:trHeight w:val="497"/>
        </w:trPr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5137DA" w:rsidRPr="005137DA" w:rsidRDefault="005137DA" w:rsidP="005137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46A13" w:rsidRDefault="00246A13" w:rsidP="00246A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1B75AC" w:rsidRDefault="001B75AC" w:rsidP="00246A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216B82" w:rsidRPr="00216B82" w:rsidRDefault="00216B82" w:rsidP="00216B82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</w:pPr>
      <w:r w:rsidRPr="00216B82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t>РЕШЕНИЕ</w:t>
      </w:r>
      <w:r w:rsidRPr="00216B82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br/>
        <w:t>№ 187-НС</w:t>
      </w:r>
      <w:r w:rsidRPr="00216B82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br/>
        <w:t>Пловдив Град, 04.04.2021</w:t>
      </w:r>
      <w:r w:rsidR="001B75AC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br/>
      </w:r>
    </w:p>
    <w:p w:rsidR="00216B82" w:rsidRP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>ОТНОСНО: Сигнал от Елена Станоева, препратен от Шесто районно управление Полиция, подаден на тел. 112 за нарушение на Изборния кодекс</w:t>
      </w:r>
    </w:p>
    <w:p w:rsidR="00216B82" w:rsidRP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>С вх. № 20/04.04.2021г. в Регистъра на жалбите и сигналите на РИК 16 е постъпил сигнал чрез дежурна част на 6 РУ-Пловдив от Елена Станоева, в който твърди, че в 4-та секция район „Северен“ при премахване на контролния отрязък на бюлетината същата се е разтворила и се е видял нейния вот.</w:t>
      </w:r>
    </w:p>
    <w:p w:rsidR="00216B82" w:rsidRP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 xml:space="preserve">Осъществен е контакт с ръководството на СИК 4 в район „Северен“, като от там дават обяснения, че при излизане от тъмната стаичка и при предаване на бюлетината за откъсване на контролния отрязък, бюлетината не е била сгъната във вида, в който е била предадена на </w:t>
      </w:r>
      <w:proofErr w:type="spellStart"/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>жалбоподателката</w:t>
      </w:r>
      <w:proofErr w:type="spellEnd"/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 xml:space="preserve">, а именно съгласно указанията дадени с Решение № 2272-НС/20.03.2021г. В този смисъл се </w:t>
      </w: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lastRenderedPageBreak/>
        <w:t>установява, че разтварянето на бюлетината е станало неволно, лицето е упражнило правото си на глас и не е налице умишлено нарушаване на разпоредби от Изборния кодекс.</w:t>
      </w:r>
    </w:p>
    <w:p w:rsidR="00216B82" w:rsidRP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>С оглед гореизложеното, на основание чл. 72, ал. 1, т. 20 от ИК, РИК 16 – ПЛОВДИВ,</w:t>
      </w:r>
      <w:r w:rsidR="001B75AC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br/>
      </w:r>
      <w:r w:rsidR="001B75AC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br/>
      </w:r>
    </w:p>
    <w:p w:rsidR="00216B82" w:rsidRP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b/>
          <w:bCs/>
          <w:color w:val="333333"/>
          <w:position w:val="0"/>
          <w:sz w:val="21"/>
          <w:szCs w:val="21"/>
        </w:rPr>
        <w:t>РЕШИ:</w:t>
      </w:r>
    </w:p>
    <w:p w:rsidR="00216B82" w:rsidRP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b/>
          <w:bCs/>
          <w:color w:val="333333"/>
          <w:position w:val="0"/>
          <w:sz w:val="21"/>
          <w:szCs w:val="21"/>
        </w:rPr>
        <w:t>ОСТАВЯ БЕЗ УВАЖЕНИЕ </w:t>
      </w: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>жалба с вх. № 20/04.04.2021г. в Регистъра на жалбите и сигналите на РИК 16 чрез дежурна част на 6 РУ-Пловдив от Елена Станоева.</w:t>
      </w:r>
    </w:p>
    <w:p w:rsidR="00216B82" w:rsidRDefault="00216B82" w:rsidP="00216B82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 w:rsidRPr="00216B82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  <w:r w:rsidR="0042708E"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br/>
      </w:r>
    </w:p>
    <w:p w:rsidR="001B75AC" w:rsidRDefault="001B75AC" w:rsidP="001B75AC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</w:t>
      </w:r>
      <w:r>
        <w:rPr>
          <w:rFonts w:ascii="Times New Roman" w:eastAsia="Times New Roman" w:hAnsi="Times New Roman" w:cs="Times New Roman"/>
          <w:sz w:val="24"/>
          <w:szCs w:val="24"/>
        </w:rPr>
        <w:t>Гергана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p w:rsidR="00216B82" w:rsidRPr="00216B82" w:rsidRDefault="001B75AC" w:rsidP="00216B82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position w:val="0"/>
          <w:sz w:val="21"/>
          <w:szCs w:val="21"/>
        </w:rPr>
        <w:t xml:space="preserve"> 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46A13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B82" w:rsidRDefault="00216B82" w:rsidP="0021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rPr>
          <w:trHeight w:val="320"/>
        </w:trPr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rPr>
          <w:trHeight w:val="497"/>
        </w:trPr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46A13" w:rsidRPr="00F150D5" w:rsidTr="00ED4BA9">
        <w:tc>
          <w:tcPr>
            <w:tcW w:w="544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246A13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246A13" w:rsidRPr="00F150D5" w:rsidRDefault="00246A13" w:rsidP="00ED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42708E" w:rsidRPr="005137DA" w:rsidRDefault="0042708E" w:rsidP="00427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2708E" w:rsidRDefault="0042708E" w:rsidP="0042708E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246A13" w:rsidRPr="00656725" w:rsidRDefault="00246A13" w:rsidP="00246A13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5672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РЕШЕНИЕ</w:t>
      </w:r>
      <w:r w:rsidRPr="0065672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№ 188 – НС</w:t>
      </w:r>
      <w:r w:rsidRPr="0065672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Пловдив Град, 04.04.2021</w:t>
      </w:r>
    </w:p>
    <w:p w:rsidR="00246A13" w:rsidRPr="000D2406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0D2406">
        <w:rPr>
          <w:rFonts w:ascii="Times New Roman" w:eastAsia="Times New Roman" w:hAnsi="Times New Roman" w:cs="Times New Roman"/>
          <w:color w:val="333333"/>
        </w:rPr>
        <w:t>ОТНОСНО: 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</w:t>
      </w:r>
      <w:r>
        <w:rPr>
          <w:rFonts w:ascii="Times New Roman" w:eastAsia="Times New Roman" w:hAnsi="Times New Roman" w:cs="Times New Roman"/>
          <w:color w:val="333333"/>
        </w:rPr>
        <w:t>дставени в 16 ИР – Пловдив-град в изборите за народни представители на 04.04.2021г.</w:t>
      </w:r>
    </w:p>
    <w:p w:rsidR="00246A13" w:rsidRPr="000D2406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0D2406">
        <w:rPr>
          <w:rFonts w:ascii="Times New Roman" w:eastAsia="Times New Roman" w:hAnsi="Times New Roman" w:cs="Times New Roman"/>
          <w:color w:val="333333"/>
        </w:rPr>
        <w:t xml:space="preserve">Във връзка с откриването на изборния ден за </w:t>
      </w:r>
      <w:r w:rsidRPr="001A2635">
        <w:rPr>
          <w:rFonts w:ascii="Times New Roman" w:eastAsia="Times New Roman" w:hAnsi="Times New Roman" w:cs="Times New Roman"/>
          <w:color w:val="333333"/>
        </w:rPr>
        <w:t xml:space="preserve">народни представители на дата 04.04.2021 год. </w:t>
      </w:r>
      <w:r w:rsidRPr="000D2406">
        <w:rPr>
          <w:rFonts w:ascii="Times New Roman" w:eastAsia="Times New Roman" w:hAnsi="Times New Roman" w:cs="Times New Roman"/>
          <w:color w:val="333333"/>
        </w:rPr>
        <w:t xml:space="preserve">и </w:t>
      </w:r>
      <w:proofErr w:type="spellStart"/>
      <w:r w:rsidRPr="000D2406">
        <w:rPr>
          <w:rFonts w:ascii="Times New Roman" w:eastAsia="Times New Roman" w:hAnsi="Times New Roman" w:cs="Times New Roman"/>
          <w:color w:val="333333"/>
        </w:rPr>
        <w:t>неявили</w:t>
      </w:r>
      <w:proofErr w:type="spellEnd"/>
      <w:r w:rsidRPr="000D2406">
        <w:rPr>
          <w:rFonts w:ascii="Times New Roman" w:eastAsia="Times New Roman" w:hAnsi="Times New Roman" w:cs="Times New Roman"/>
          <w:color w:val="333333"/>
        </w:rPr>
        <w:t xml:space="preserve"> се членове в съставите на СИК в 16 ИР-Пловдив град, Районната избирателна комисия следва да вземе решение за попълване на ръководствата на съответните СИК на територията на изборния район, където има </w:t>
      </w:r>
      <w:proofErr w:type="spellStart"/>
      <w:r w:rsidRPr="000D2406">
        <w:rPr>
          <w:rFonts w:ascii="Times New Roman" w:eastAsia="Times New Roman" w:hAnsi="Times New Roman" w:cs="Times New Roman"/>
          <w:color w:val="333333"/>
        </w:rPr>
        <w:t>неявили</w:t>
      </w:r>
      <w:proofErr w:type="spellEnd"/>
      <w:r w:rsidRPr="000D2406">
        <w:rPr>
          <w:rFonts w:ascii="Times New Roman" w:eastAsia="Times New Roman" w:hAnsi="Times New Roman" w:cs="Times New Roman"/>
          <w:color w:val="333333"/>
        </w:rPr>
        <w:t xml:space="preserve"> се членове на СИК от ръководния им състав, за които не са постъпили предложения за нови членове от квотата на съответната партия/коалиция.</w:t>
      </w:r>
      <w:r w:rsidRPr="001A2635">
        <w:rPr>
          <w:rFonts w:ascii="Times New Roman" w:eastAsia="Times New Roman" w:hAnsi="Times New Roman" w:cs="Times New Roman"/>
          <w:color w:val="333333"/>
        </w:rPr>
        <w:t xml:space="preserve"> </w:t>
      </w:r>
      <w:r w:rsidRPr="000D2406">
        <w:rPr>
          <w:rFonts w:ascii="Times New Roman" w:eastAsia="Times New Roman" w:hAnsi="Times New Roman" w:cs="Times New Roman"/>
          <w:color w:val="333333"/>
        </w:rPr>
        <w:t>Попълването на ръководствата на всяка СИК ще се извърши от яв</w:t>
      </w:r>
      <w:r w:rsidRPr="001A2635">
        <w:rPr>
          <w:rFonts w:ascii="Times New Roman" w:eastAsia="Times New Roman" w:hAnsi="Times New Roman" w:cs="Times New Roman"/>
          <w:color w:val="333333"/>
        </w:rPr>
        <w:t xml:space="preserve">илите се членове и при спазване </w:t>
      </w:r>
      <w:r w:rsidRPr="000D2406">
        <w:rPr>
          <w:rFonts w:ascii="Times New Roman" w:eastAsia="Times New Roman" w:hAnsi="Times New Roman" w:cs="Times New Roman"/>
          <w:color w:val="333333"/>
        </w:rPr>
        <w:t>на изискванията на ИК.</w:t>
      </w:r>
    </w:p>
    <w:p w:rsidR="00246A13" w:rsidRPr="000D2406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0D2406">
        <w:rPr>
          <w:rFonts w:ascii="Times New Roman" w:eastAsia="Times New Roman" w:hAnsi="Times New Roman" w:cs="Times New Roman"/>
          <w:color w:val="333333"/>
        </w:rPr>
        <w:t>Предвид на гореизложеното, както и на основание  чл. 72, ал. 1, т. 4, във връзка с чл.</w:t>
      </w:r>
      <w:r w:rsidRPr="001A2635">
        <w:rPr>
          <w:rFonts w:ascii="Times New Roman" w:eastAsia="Times New Roman" w:hAnsi="Times New Roman" w:cs="Times New Roman"/>
          <w:color w:val="333333"/>
        </w:rPr>
        <w:t xml:space="preserve"> </w:t>
      </w:r>
      <w:r w:rsidRPr="000D2406">
        <w:rPr>
          <w:rFonts w:ascii="Times New Roman" w:eastAsia="Times New Roman" w:hAnsi="Times New Roman" w:cs="Times New Roman"/>
          <w:color w:val="333333"/>
        </w:rPr>
        <w:t>92, ал.</w:t>
      </w:r>
      <w:r w:rsidRPr="001A2635">
        <w:rPr>
          <w:rFonts w:ascii="Times New Roman" w:eastAsia="Times New Roman" w:hAnsi="Times New Roman" w:cs="Times New Roman"/>
          <w:color w:val="333333"/>
        </w:rPr>
        <w:t xml:space="preserve"> </w:t>
      </w:r>
      <w:r w:rsidRPr="000D2406">
        <w:rPr>
          <w:rFonts w:ascii="Times New Roman" w:eastAsia="Times New Roman" w:hAnsi="Times New Roman" w:cs="Times New Roman"/>
          <w:color w:val="333333"/>
        </w:rPr>
        <w:t>3 от Изборния кодекс, РИК 16 – Пловдив,</w:t>
      </w:r>
    </w:p>
    <w:p w:rsidR="00246A13" w:rsidRPr="000D2406" w:rsidRDefault="00246A13" w:rsidP="00246A13">
      <w:pPr>
        <w:shd w:val="clear" w:color="auto" w:fill="FFFFFF"/>
        <w:spacing w:after="100" w:line="240" w:lineRule="auto"/>
        <w:ind w:left="0" w:hanging="2"/>
        <w:jc w:val="center"/>
        <w:rPr>
          <w:rFonts w:ascii="Times New Roman" w:eastAsia="Times New Roman" w:hAnsi="Times New Roman" w:cs="Times New Roman"/>
          <w:color w:val="333333"/>
        </w:rPr>
      </w:pPr>
      <w:r w:rsidRPr="001A2635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246A13" w:rsidRPr="000434A3" w:rsidRDefault="00246A13" w:rsidP="00246A13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10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lang w:eastAsia="bg-BG"/>
        </w:rPr>
      </w:pPr>
      <w:r w:rsidRPr="008075F0">
        <w:rPr>
          <w:rFonts w:ascii="Times New Roman" w:eastAsia="Times New Roman" w:hAnsi="Times New Roman"/>
          <w:color w:val="333333"/>
          <w:lang w:eastAsia="bg-BG"/>
        </w:rPr>
        <w:t>НАЗНАЧАВА в ръководствата на СИК (председател; зам.- председател и секретар) членовете на СИК, описани в Приложение 1 – неразделна част от настоящото решение и им издава нови удостоверения, съобразно заеманата от тях ръководна позиция в съответната СИК на територията на 16 ИР Пловдив - град.</w:t>
      </w:r>
    </w:p>
    <w:p w:rsidR="00246A13" w:rsidRPr="000D2406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0D2406">
        <w:rPr>
          <w:rFonts w:ascii="Times New Roman" w:eastAsia="Times New Roman" w:hAnsi="Times New Roman" w:cs="Times New Roman"/>
          <w:color w:val="333333"/>
        </w:rPr>
        <w:t xml:space="preserve">2. АНУЛИРА удостоверенията на членовете по т.1, издадени преди </w:t>
      </w:r>
      <w:r w:rsidRPr="001A2635">
        <w:rPr>
          <w:rFonts w:ascii="Times New Roman" w:eastAsia="Times New Roman" w:hAnsi="Times New Roman" w:cs="Times New Roman"/>
          <w:color w:val="333333"/>
        </w:rPr>
        <w:t>04.04.2021</w:t>
      </w:r>
      <w:r w:rsidRPr="000D2406">
        <w:rPr>
          <w:rFonts w:ascii="Times New Roman" w:eastAsia="Times New Roman" w:hAnsi="Times New Roman" w:cs="Times New Roman"/>
          <w:color w:val="333333"/>
        </w:rPr>
        <w:t xml:space="preserve"> год.</w:t>
      </w:r>
    </w:p>
    <w:p w:rsidR="00246A13" w:rsidRPr="000D2406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0D2406">
        <w:rPr>
          <w:rFonts w:ascii="Times New Roman" w:eastAsia="Times New Roman" w:hAnsi="Times New Roman" w:cs="Times New Roman"/>
          <w:color w:val="333333"/>
        </w:rPr>
        <w:t xml:space="preserve">3. АНУЛИРА удостоверенията на всички членове на СИК, </w:t>
      </w:r>
      <w:proofErr w:type="spellStart"/>
      <w:r w:rsidRPr="000D2406">
        <w:rPr>
          <w:rFonts w:ascii="Times New Roman" w:eastAsia="Times New Roman" w:hAnsi="Times New Roman" w:cs="Times New Roman"/>
          <w:color w:val="333333"/>
        </w:rPr>
        <w:t>неявили</w:t>
      </w:r>
      <w:proofErr w:type="spellEnd"/>
      <w:r w:rsidRPr="000D2406">
        <w:rPr>
          <w:rFonts w:ascii="Times New Roman" w:eastAsia="Times New Roman" w:hAnsi="Times New Roman" w:cs="Times New Roman"/>
          <w:color w:val="333333"/>
        </w:rPr>
        <w:t xml:space="preserve"> се в изборния ден – </w:t>
      </w:r>
      <w:r w:rsidRPr="001A2635">
        <w:rPr>
          <w:rFonts w:ascii="Times New Roman" w:eastAsia="Times New Roman" w:hAnsi="Times New Roman" w:cs="Times New Roman"/>
          <w:color w:val="333333"/>
        </w:rPr>
        <w:t>04.04.2021</w:t>
      </w:r>
      <w:r w:rsidRPr="000D2406">
        <w:rPr>
          <w:rFonts w:ascii="Times New Roman" w:eastAsia="Times New Roman" w:hAnsi="Times New Roman" w:cs="Times New Roman"/>
          <w:color w:val="333333"/>
        </w:rPr>
        <w:t xml:space="preserve"> година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246A13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0D2406">
        <w:rPr>
          <w:rFonts w:ascii="Times New Roman" w:eastAsia="Times New Roman" w:hAnsi="Times New Roman" w:cs="Times New Roman"/>
          <w:color w:val="333333"/>
        </w:rPr>
        <w:t> Настоящото решение подлежи на обжалване пред Централната избирателна комисия в тридневен срок от обявяването му.</w:t>
      </w:r>
    </w:p>
    <w:p w:rsidR="00246A13" w:rsidRDefault="00246A13" w:rsidP="00246A13">
      <w:pPr>
        <w:shd w:val="clear" w:color="auto" w:fill="FFFFFF"/>
        <w:spacing w:after="100" w:line="240" w:lineRule="auto"/>
        <w:ind w:left="0" w:hanging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Неразделна част към настоящото решение е Приложение №1.</w:t>
      </w:r>
    </w:p>
    <w:p w:rsidR="00246A13" w:rsidRDefault="00246A13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246A13" w:rsidRDefault="00246A13" w:rsidP="00246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246A13" w:rsidRDefault="00246A13" w:rsidP="00246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Иванов</w:t>
      </w:r>
    </w:p>
    <w:p w:rsidR="00246A13" w:rsidRDefault="00246A13" w:rsidP="00246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246A13" w:rsidRDefault="00246A13" w:rsidP="00246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</w:p>
    <w:p w:rsidR="00246A13" w:rsidRPr="00C74A92" w:rsidRDefault="007069AD" w:rsidP="00B43CB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246A13">
        <w:rPr>
          <w:rFonts w:ascii="Times New Roman" w:eastAsia="Times New Roman" w:hAnsi="Times New Roman"/>
          <w:sz w:val="24"/>
          <w:szCs w:val="24"/>
        </w:rPr>
        <w:t>Заседанието се закри в 10:50 часа.</w:t>
      </w:r>
    </w:p>
    <w:p w:rsidR="00B43CB2" w:rsidRDefault="00B43CB2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3CB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9" w:rsidRDefault="009132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13219" w:rsidRDefault="009132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A135F9" w:rsidRDefault="00913219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 w:rsidR="00A135F9">
        <w:rPr>
          <w:rFonts w:ascii="Cambria" w:eastAsia="Cambria" w:hAnsi="Cambria" w:cs="Cambria"/>
          <w:color w:val="000000"/>
        </w:rPr>
        <w:t>+359 32 633 680</w:t>
      </w:r>
    </w:hyperlink>
    <w:r w:rsidR="00A135F9">
      <w:rPr>
        <w:rFonts w:ascii="Cambria" w:eastAsia="Cambria" w:hAnsi="Cambria" w:cs="Cambria"/>
        <w:color w:val="000000"/>
      </w:rPr>
      <w:t xml:space="preserve">; факс: </w:t>
    </w:r>
    <w:hyperlink r:id="rId3">
      <w:r w:rsidR="00A135F9">
        <w:rPr>
          <w:rFonts w:ascii="Cambria" w:eastAsia="Cambria" w:hAnsi="Cambria" w:cs="Cambria"/>
          <w:color w:val="000000"/>
        </w:rPr>
        <w:t>+359 32 628 024</w:t>
      </w:r>
    </w:hyperlink>
    <w:r w:rsidR="00A135F9">
      <w:rPr>
        <w:rFonts w:ascii="Cambria" w:eastAsia="Cambria" w:hAnsi="Cambria" w:cs="Cambria"/>
        <w:color w:val="000000"/>
      </w:rPr>
      <w:t xml:space="preserve">; </w:t>
    </w:r>
    <w:proofErr w:type="spellStart"/>
    <w:r w:rsidR="00A135F9">
      <w:rPr>
        <w:rFonts w:ascii="Cambria" w:eastAsia="Cambria" w:hAnsi="Cambria" w:cs="Cambria"/>
        <w:color w:val="000000"/>
      </w:rPr>
      <w:t>web</w:t>
    </w:r>
    <w:proofErr w:type="spellEnd"/>
    <w:r w:rsidR="00A135F9">
      <w:rPr>
        <w:rFonts w:ascii="Cambria" w:eastAsia="Cambria" w:hAnsi="Cambria" w:cs="Cambria"/>
        <w:color w:val="000000"/>
      </w:rPr>
      <w:t xml:space="preserve">: www. </w:t>
    </w:r>
    <w:hyperlink r:id="rId4">
      <w:r w:rsidR="00A135F9">
        <w:rPr>
          <w:rFonts w:ascii="Cambria" w:eastAsia="Cambria" w:hAnsi="Cambria" w:cs="Cambria"/>
          <w:color w:val="000000"/>
        </w:rPr>
        <w:t>rik16.cik.bg</w:t>
      </w:r>
    </w:hyperlink>
    <w:r w:rsidR="00A135F9">
      <w:rPr>
        <w:rFonts w:ascii="Cambria" w:eastAsia="Cambria" w:hAnsi="Cambria" w:cs="Cambria"/>
        <w:color w:val="000000"/>
      </w:rPr>
      <w:t>; e-</w:t>
    </w:r>
    <w:proofErr w:type="spellStart"/>
    <w:r w:rsidR="00A135F9">
      <w:rPr>
        <w:rFonts w:ascii="Cambria" w:eastAsia="Cambria" w:hAnsi="Cambria" w:cs="Cambria"/>
        <w:color w:val="000000"/>
      </w:rPr>
      <w:t>mail</w:t>
    </w:r>
    <w:proofErr w:type="spellEnd"/>
    <w:r w:rsidR="00A135F9">
      <w:rPr>
        <w:rFonts w:ascii="Cambria" w:eastAsia="Cambria" w:hAnsi="Cambria" w:cs="Cambria"/>
        <w:color w:val="000000"/>
      </w:rPr>
      <w:t xml:space="preserve">: </w:t>
    </w:r>
    <w:hyperlink r:id="rId5">
      <w:r w:rsidR="00A135F9">
        <w:rPr>
          <w:rFonts w:ascii="Cambria" w:eastAsia="Cambria" w:hAnsi="Cambria" w:cs="Cambria"/>
          <w:color w:val="000000"/>
        </w:rPr>
        <w:t>rik16@cik.bg</w:t>
      </w:r>
    </w:hyperlink>
    <w:r w:rsidR="00A135F9">
      <w:rPr>
        <w:rFonts w:ascii="Cambria" w:eastAsia="Cambria" w:hAnsi="Cambria" w:cs="Cambria"/>
        <w:color w:val="000000"/>
        <w:sz w:val="20"/>
        <w:szCs w:val="20"/>
      </w:rPr>
      <w:tab/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A135F9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6137A4">
      <w:rPr>
        <w:rFonts w:ascii="Cambria" w:eastAsia="Cambria" w:hAnsi="Cambria" w:cs="Cambria"/>
        <w:noProof/>
        <w:color w:val="000000"/>
        <w:sz w:val="20"/>
        <w:szCs w:val="20"/>
      </w:rPr>
      <w:t>3</w:t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9" w:rsidRDefault="009132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13219" w:rsidRDefault="009132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B0F"/>
    <w:multiLevelType w:val="multilevel"/>
    <w:tmpl w:val="C296A29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DF"/>
    <w:multiLevelType w:val="multilevel"/>
    <w:tmpl w:val="D1FA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A86E06"/>
    <w:multiLevelType w:val="multilevel"/>
    <w:tmpl w:val="3AAE96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8D31FB"/>
    <w:multiLevelType w:val="multilevel"/>
    <w:tmpl w:val="3D9CE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6D65DC7"/>
    <w:multiLevelType w:val="multilevel"/>
    <w:tmpl w:val="CE40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6045E"/>
    <w:multiLevelType w:val="multilevel"/>
    <w:tmpl w:val="79CC13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8F2A9D"/>
    <w:multiLevelType w:val="hybridMultilevel"/>
    <w:tmpl w:val="E6968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0110"/>
    <w:multiLevelType w:val="hybridMultilevel"/>
    <w:tmpl w:val="65504D54"/>
    <w:lvl w:ilvl="0" w:tplc="B02AD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72D"/>
    <w:multiLevelType w:val="hybridMultilevel"/>
    <w:tmpl w:val="E6968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53354"/>
    <w:multiLevelType w:val="hybridMultilevel"/>
    <w:tmpl w:val="F67822D2"/>
    <w:lvl w:ilvl="0" w:tplc="BA1072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AF12C2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9"/>
    <w:rsid w:val="00007F97"/>
    <w:rsid w:val="00012348"/>
    <w:rsid w:val="00012F7D"/>
    <w:rsid w:val="00093354"/>
    <w:rsid w:val="000F6DD2"/>
    <w:rsid w:val="00110C81"/>
    <w:rsid w:val="001511F1"/>
    <w:rsid w:val="001734AA"/>
    <w:rsid w:val="00176BBA"/>
    <w:rsid w:val="001B0F20"/>
    <w:rsid w:val="001B75AC"/>
    <w:rsid w:val="001B7690"/>
    <w:rsid w:val="001D32E2"/>
    <w:rsid w:val="00216B82"/>
    <w:rsid w:val="00246A13"/>
    <w:rsid w:val="00277675"/>
    <w:rsid w:val="00292C1D"/>
    <w:rsid w:val="00293EAB"/>
    <w:rsid w:val="002A29EB"/>
    <w:rsid w:val="002B0892"/>
    <w:rsid w:val="002D3588"/>
    <w:rsid w:val="002F586B"/>
    <w:rsid w:val="00340563"/>
    <w:rsid w:val="00356C57"/>
    <w:rsid w:val="003653B4"/>
    <w:rsid w:val="00382118"/>
    <w:rsid w:val="00382252"/>
    <w:rsid w:val="003E6B6E"/>
    <w:rsid w:val="003F7BFD"/>
    <w:rsid w:val="00403E2D"/>
    <w:rsid w:val="0042708E"/>
    <w:rsid w:val="0047393A"/>
    <w:rsid w:val="004C0538"/>
    <w:rsid w:val="0050094A"/>
    <w:rsid w:val="0051118A"/>
    <w:rsid w:val="005137DA"/>
    <w:rsid w:val="00516AE7"/>
    <w:rsid w:val="00546E55"/>
    <w:rsid w:val="005547C3"/>
    <w:rsid w:val="005A6809"/>
    <w:rsid w:val="005D2CE7"/>
    <w:rsid w:val="005E1F5D"/>
    <w:rsid w:val="006137A4"/>
    <w:rsid w:val="00634235"/>
    <w:rsid w:val="00656725"/>
    <w:rsid w:val="00663245"/>
    <w:rsid w:val="00680007"/>
    <w:rsid w:val="00693BE7"/>
    <w:rsid w:val="006E338F"/>
    <w:rsid w:val="006F7619"/>
    <w:rsid w:val="007069AD"/>
    <w:rsid w:val="00707059"/>
    <w:rsid w:val="0072471A"/>
    <w:rsid w:val="0079523D"/>
    <w:rsid w:val="007A5152"/>
    <w:rsid w:val="007D0119"/>
    <w:rsid w:val="007D42E7"/>
    <w:rsid w:val="007E74B7"/>
    <w:rsid w:val="00823C2E"/>
    <w:rsid w:val="0083281B"/>
    <w:rsid w:val="00842808"/>
    <w:rsid w:val="00845FAA"/>
    <w:rsid w:val="00850D92"/>
    <w:rsid w:val="00897CF5"/>
    <w:rsid w:val="008A3E7A"/>
    <w:rsid w:val="008C225D"/>
    <w:rsid w:val="008C749E"/>
    <w:rsid w:val="00910B4F"/>
    <w:rsid w:val="00911914"/>
    <w:rsid w:val="00913219"/>
    <w:rsid w:val="0092121A"/>
    <w:rsid w:val="0096621F"/>
    <w:rsid w:val="00986CF4"/>
    <w:rsid w:val="009C2F8F"/>
    <w:rsid w:val="009E6E97"/>
    <w:rsid w:val="00A135F9"/>
    <w:rsid w:val="00A36886"/>
    <w:rsid w:val="00A5601D"/>
    <w:rsid w:val="00A818DF"/>
    <w:rsid w:val="00A96A3F"/>
    <w:rsid w:val="00AB3392"/>
    <w:rsid w:val="00AB586A"/>
    <w:rsid w:val="00B21EFE"/>
    <w:rsid w:val="00B3162C"/>
    <w:rsid w:val="00B43CB2"/>
    <w:rsid w:val="00B957A1"/>
    <w:rsid w:val="00C1778A"/>
    <w:rsid w:val="00C177D4"/>
    <w:rsid w:val="00C26D4F"/>
    <w:rsid w:val="00CA2A19"/>
    <w:rsid w:val="00CD68A4"/>
    <w:rsid w:val="00CF0D2E"/>
    <w:rsid w:val="00D0550D"/>
    <w:rsid w:val="00D56669"/>
    <w:rsid w:val="00D64271"/>
    <w:rsid w:val="00D7270F"/>
    <w:rsid w:val="00DA44AB"/>
    <w:rsid w:val="00DB4221"/>
    <w:rsid w:val="00DF75A3"/>
    <w:rsid w:val="00E11EC7"/>
    <w:rsid w:val="00E53529"/>
    <w:rsid w:val="00E77890"/>
    <w:rsid w:val="00E82CF7"/>
    <w:rsid w:val="00E86738"/>
    <w:rsid w:val="00E87D84"/>
    <w:rsid w:val="00E95F30"/>
    <w:rsid w:val="00EA3A0D"/>
    <w:rsid w:val="00EB6B00"/>
    <w:rsid w:val="00EC3111"/>
    <w:rsid w:val="00EF5D92"/>
    <w:rsid w:val="00EF68C0"/>
    <w:rsid w:val="00F01897"/>
    <w:rsid w:val="00F150D5"/>
    <w:rsid w:val="00F95D0F"/>
    <w:rsid w:val="00FA0B95"/>
    <w:rsid w:val="00FB5154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5F8B"/>
  <w15:docId w15:val="{65568CD6-4DC9-49B0-9ABF-4E5DE7A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94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2">
    <w:name w:val="Без разредка Знак"/>
    <w:basedOn w:val="a0"/>
    <w:link w:val="af1"/>
    <w:locked/>
    <w:rsid w:val="00A135F9"/>
    <w:rPr>
      <w:rFonts w:asciiTheme="minorHAnsi" w:eastAsiaTheme="minorHAnsi" w:hAnsiTheme="minorHAnsi" w:cstheme="minorBidi"/>
      <w:lang w:val="en-US" w:eastAsia="en-US"/>
    </w:rPr>
  </w:style>
  <w:style w:type="character" w:styleId="aff0">
    <w:name w:val="FollowedHyperlink"/>
    <w:uiPriority w:val="99"/>
    <w:semiHidden/>
    <w:unhideWhenUsed/>
    <w:rsid w:val="00897CF5"/>
    <w:rPr>
      <w:color w:val="954F72"/>
      <w:u w:val="single"/>
    </w:rPr>
  </w:style>
  <w:style w:type="paragraph" w:customStyle="1" w:styleId="font5">
    <w:name w:val="font5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b/>
      <w:bCs/>
      <w:color w:val="000000"/>
      <w:position w:val="0"/>
      <w:sz w:val="18"/>
      <w:szCs w:val="18"/>
      <w:lang w:val="en-US" w:eastAsia="en-US"/>
    </w:rPr>
  </w:style>
  <w:style w:type="paragraph" w:customStyle="1" w:styleId="font6">
    <w:name w:val="font6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color w:val="000000"/>
      <w:position w:val="0"/>
      <w:sz w:val="18"/>
      <w:szCs w:val="18"/>
      <w:lang w:val="en-US" w:eastAsia="en-US"/>
    </w:rPr>
  </w:style>
  <w:style w:type="paragraph" w:customStyle="1" w:styleId="xl65">
    <w:name w:val="xl6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6">
    <w:name w:val="xl6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7">
    <w:name w:val="xl6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color w:val="F2F2F2"/>
      <w:position w:val="0"/>
      <w:sz w:val="24"/>
      <w:szCs w:val="24"/>
      <w:lang w:val="en-US" w:eastAsia="en-US"/>
    </w:rPr>
  </w:style>
  <w:style w:type="paragraph" w:customStyle="1" w:styleId="xl68">
    <w:name w:val="xl6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9">
    <w:name w:val="xl6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en-US" w:eastAsia="en-US"/>
    </w:rPr>
  </w:style>
  <w:style w:type="paragraph" w:customStyle="1" w:styleId="xl70">
    <w:name w:val="xl7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1">
    <w:name w:val="xl7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2">
    <w:name w:val="xl72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3">
    <w:name w:val="xl73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4">
    <w:name w:val="xl74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5">
    <w:name w:val="xl7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6">
    <w:name w:val="xl7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7">
    <w:name w:val="xl7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8">
    <w:name w:val="xl7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9">
    <w:name w:val="xl7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50505"/>
      <w:position w:val="0"/>
      <w:sz w:val="24"/>
      <w:szCs w:val="24"/>
      <w:lang w:val="en-US" w:eastAsia="en-US"/>
    </w:rPr>
  </w:style>
  <w:style w:type="paragraph" w:customStyle="1" w:styleId="xl80">
    <w:name w:val="xl8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81">
    <w:name w:val="xl8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resh-title">
    <w:name w:val="resh-title"/>
    <w:basedOn w:val="a"/>
    <w:rsid w:val="00216B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9Eg+mLrcKskd7Ovgsyy30IHKA==">AMUW2mV+ySGFyvCbz97Z4s7ZhXxQo1Yd4zG9zQC2OHCM3aBTAOUIHGtT37F8J6R9eaaTRa54G01Z6dvQTO5IoR3fFIk91cK6FsmQu75gq3BFyF0UdiO3qDWbEU3hUc6rEAgUFS/sgDhJHWh2EWDX6TPRBF4FmkCXTw==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5C90C5-6649-472E-88EF-3464B142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29</cp:revision>
  <dcterms:created xsi:type="dcterms:W3CDTF">2021-04-04T06:59:00Z</dcterms:created>
  <dcterms:modified xsi:type="dcterms:W3CDTF">2021-04-07T12:05:00Z</dcterms:modified>
</cp:coreProperties>
</file>